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0"/>
        <w:widowControl w:val="false"/>
        <w:pBdr/>
        <w:spacing w:after="200" w:line="276" w:lineRule="auto"/>
        <w:ind w:firstLine="709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2"/>
          <w:szCs w:val="22"/>
          <w:lang w:eastAsia="en-US"/>
        </w:rPr>
        <w:t xml:space="preserve">                                                                            </w:t>
      </w:r>
      <w:r>
        <w:rPr>
          <w:rFonts w:ascii="PT Astra Serif" w:hAnsi="PT Astra Serif"/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52.49pt;height:62.28pt;mso-wrap-distance-left:0.00pt;mso-wrap-distance-top:0.00pt;mso-wrap-distance-right:0.00pt;mso-wrap-distance-bottom:0.00pt;z-index:1;" filled="f" stroked="false">
            <v:imagedata r:id="rId9" o:title=""/>
            <o:lock v:ext="edit" rotation="t"/>
          </v:shape>
          <o:OLEObject DrawAspect="Content" r:id="rId10" ObjectID="_1525040" ProgID="" ShapeID="_x0000_i0" Type="Embed"/>
        </w:objec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финансовое управление администрации города Тулы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ПРИКАЗ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 w:after="200" w:line="276" w:lineRule="auto"/>
        <w:ind/>
        <w:jc w:val="both"/>
        <w:rPr>
          <w:rFonts w:ascii="PT Astra Serif" w:hAnsi="PT Astra Serif"/>
          <w:color w:val="ff0000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От</w:t>
      </w:r>
      <w:r>
        <w:rPr>
          <w:rFonts w:ascii="PT Astra Serif" w:hAnsi="PT Astra Serif"/>
          <w:sz w:val="28"/>
          <w:szCs w:val="28"/>
          <w:lang w:eastAsia="en-US"/>
        </w:rPr>
        <w:t xml:space="preserve">_____</w:t>
      </w:r>
      <w:r>
        <w:rPr>
          <w:rFonts w:ascii="PT Astra Serif" w:hAnsi="PT Astra Serif"/>
          <w:sz w:val="28"/>
          <w:szCs w:val="28"/>
          <w:lang w:eastAsia="en-US"/>
        </w:rPr>
        <w:t xml:space="preserve">____</w:t>
      </w:r>
      <w:r>
        <w:rPr>
          <w:rFonts w:ascii="PT Astra Serif" w:hAnsi="PT Astra Serif"/>
          <w:sz w:val="28"/>
          <w:szCs w:val="28"/>
          <w:lang w:eastAsia="en-US"/>
        </w:rPr>
        <w:t xml:space="preserve">202</w:t>
      </w:r>
      <w:r>
        <w:rPr>
          <w:rFonts w:ascii="PT Astra Serif" w:hAnsi="PT Astra Serif"/>
          <w:sz w:val="28"/>
          <w:szCs w:val="28"/>
          <w:lang w:eastAsia="en-US"/>
        </w:rPr>
        <w:t xml:space="preserve">_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           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</w:t>
      </w:r>
      <w:r>
        <w:rPr>
          <w:rFonts w:ascii="PT Astra Serif" w:hAnsi="PT Astra Serif"/>
          <w:sz w:val="28"/>
          <w:szCs w:val="28"/>
          <w:lang w:eastAsia="en-US"/>
        </w:rPr>
        <w:t xml:space="preserve">                             №</w:t>
      </w:r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sz w:val="28"/>
          <w:szCs w:val="28"/>
          <w:lang w:eastAsia="en-US"/>
        </w:rPr>
        <w:t xml:space="preserve">__</w:t>
      </w:r>
      <w:r>
        <w:rPr>
          <w:rFonts w:ascii="PT Astra Serif" w:hAnsi="PT Astra Serif"/>
          <w:color w:val="ff0000"/>
          <w:sz w:val="28"/>
          <w:szCs w:val="28"/>
          <w:lang w:eastAsia="en-US"/>
        </w:rPr>
      </w:r>
      <w:r>
        <w:rPr>
          <w:rFonts w:ascii="PT Astra Serif" w:hAnsi="PT Astra Serif"/>
          <w:color w:val="ff0000"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О внесении изменени</w:t>
      </w:r>
      <w:r>
        <w:rPr>
          <w:rFonts w:ascii="PT Astra Serif" w:hAnsi="PT Astra Serif"/>
          <w:lang w:eastAsia="en-US"/>
        </w:rPr>
        <w:t xml:space="preserve">й</w:t>
      </w:r>
      <w:r>
        <w:rPr>
          <w:rFonts w:ascii="PT Astra Serif" w:hAnsi="PT Astra Serif"/>
          <w:lang w:eastAsia="en-US"/>
        </w:rPr>
        <w:t xml:space="preserve">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в приказ финансового управления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администрации города Тулы 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  <w:t xml:space="preserve">от 10</w:t>
      </w:r>
      <w:r>
        <w:rPr>
          <w:rFonts w:ascii="PT Astra Serif" w:hAnsi="PT Astra Serif"/>
          <w:lang w:eastAsia="en-US"/>
        </w:rPr>
        <w:t xml:space="preserve">.1</w:t>
      </w:r>
      <w:r>
        <w:rPr>
          <w:rFonts w:ascii="PT Astra Serif" w:hAnsi="PT Astra Serif"/>
          <w:lang w:eastAsia="en-US"/>
        </w:rPr>
        <w:t xml:space="preserve">0</w:t>
      </w:r>
      <w:r>
        <w:rPr>
          <w:rFonts w:ascii="PT Astra Serif" w:hAnsi="PT Astra Serif"/>
          <w:lang w:eastAsia="en-US"/>
        </w:rPr>
        <w:t xml:space="preserve">.20</w:t>
      </w:r>
      <w:r>
        <w:rPr>
          <w:rFonts w:ascii="PT Astra Serif" w:hAnsi="PT Astra Serif"/>
          <w:lang w:eastAsia="en-US"/>
        </w:rPr>
        <w:t xml:space="preserve">2</w:t>
      </w:r>
      <w:r>
        <w:rPr>
          <w:rFonts w:ascii="PT Astra Serif" w:hAnsi="PT Astra Serif"/>
          <w:lang w:eastAsia="en-US"/>
        </w:rPr>
        <w:t xml:space="preserve">5 № </w:t>
      </w:r>
      <w:r>
        <w:rPr>
          <w:rFonts w:ascii="PT Astra Serif" w:hAnsi="PT Astra Serif"/>
          <w:lang w:eastAsia="en-US"/>
        </w:rPr>
        <w:t xml:space="preserve">54</w:t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 w:hanging="142"/>
        <w:jc w:val="both"/>
        <w:rPr>
          <w:rFonts w:ascii="PT Astra Serif" w:hAnsi="PT Astra Serif"/>
          <w:lang w:eastAsia="en-US"/>
        </w:rPr>
      </w:pP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  <w:r>
        <w:rPr>
          <w:rFonts w:ascii="PT Astra Serif" w:hAnsi="PT Astra Serif"/>
          <w:lang w:eastAsia="en-US"/>
        </w:rPr>
      </w:r>
    </w:p>
    <w:p>
      <w:pPr>
        <w:pStyle w:val="910"/>
        <w:pBdr/>
        <w:spacing/>
        <w:ind w:hanging="142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lang w:eastAsia="en-US"/>
        </w:rPr>
        <w:t xml:space="preserve">        </w:t>
        <w:tab/>
      </w:r>
      <w:r>
        <w:rPr>
          <w:rFonts w:ascii="PT Astra Serif" w:hAnsi="PT Astra Serif"/>
          <w:sz w:val="28"/>
          <w:szCs w:val="28"/>
          <w:lang w:eastAsia="en-US"/>
        </w:rPr>
        <w:t xml:space="preserve">   </w:t>
      </w:r>
      <w:r>
        <w:rPr>
          <w:rFonts w:ascii="PT Astra Serif" w:hAnsi="PT Astra Serif" w:eastAsia="Calibri"/>
          <w:sz w:val="28"/>
          <w:szCs w:val="28"/>
        </w:rPr>
        <w:t xml:space="preserve">В связи с изменением цен и потребности количества товаров и услуг,</w:t>
      </w:r>
      <w:r>
        <w:rPr>
          <w:rFonts w:ascii="PT Astra Serif" w:hAnsi="PT Astra Serif"/>
          <w:sz w:val="28"/>
          <w:szCs w:val="28"/>
          <w:lang w:eastAsia="en-US"/>
        </w:rPr>
        <w:t xml:space="preserve"> на основании Положения «О финансовом управлении администрации города Тулы» приказываю: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numPr>
          <w:ilvl w:val="0"/>
          <w:numId w:val="9"/>
        </w:numPr>
        <w:pBdr/>
        <w:spacing w:after="200"/>
        <w:ind w:firstLine="993" w:left="0"/>
        <w:contextualSpacing w:val="true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Внести</w:t>
      </w:r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sz w:val="28"/>
          <w:szCs w:val="28"/>
          <w:lang w:eastAsia="en-US"/>
        </w:rPr>
        <w:t xml:space="preserve">в приложение к приказу финансового управления администрации города Тулы от </w:t>
      </w:r>
      <w:r>
        <w:rPr>
          <w:rFonts w:ascii="PT Astra Serif" w:hAnsi="PT Astra Serif"/>
          <w:sz w:val="28"/>
          <w:szCs w:val="28"/>
          <w:lang w:eastAsia="en-US"/>
        </w:rPr>
        <w:t xml:space="preserve">1</w:t>
      </w:r>
      <w:r>
        <w:rPr>
          <w:rFonts w:ascii="PT Astra Serif" w:hAnsi="PT Astra Serif"/>
          <w:sz w:val="28"/>
          <w:szCs w:val="28"/>
          <w:lang w:eastAsia="en-US"/>
        </w:rPr>
        <w:t xml:space="preserve">0.1</w:t>
      </w:r>
      <w:r>
        <w:rPr>
          <w:rFonts w:ascii="PT Astra Serif" w:hAnsi="PT Astra Serif"/>
          <w:sz w:val="28"/>
          <w:szCs w:val="28"/>
          <w:lang w:eastAsia="en-US"/>
        </w:rPr>
        <w:t xml:space="preserve">0.202</w:t>
      </w:r>
      <w:r>
        <w:rPr>
          <w:rFonts w:ascii="PT Astra Serif" w:hAnsi="PT Astra Serif"/>
          <w:sz w:val="28"/>
          <w:szCs w:val="28"/>
          <w:lang w:eastAsia="en-US"/>
        </w:rPr>
        <w:t xml:space="preserve">5 № </w:t>
      </w:r>
      <w:r>
        <w:rPr>
          <w:rFonts w:ascii="PT Astra Serif" w:hAnsi="PT Astra Serif"/>
          <w:sz w:val="28"/>
          <w:szCs w:val="28"/>
          <w:lang w:eastAsia="en-US"/>
        </w:rPr>
        <w:t xml:space="preserve">54</w:t>
      </w:r>
      <w:r>
        <w:rPr>
          <w:rFonts w:ascii="PT Astra Serif" w:hAnsi="PT Astra Serif"/>
          <w:sz w:val="28"/>
          <w:szCs w:val="28"/>
          <w:lang w:eastAsia="en-US"/>
        </w:rPr>
        <w:t xml:space="preserve"> «Об утверждении нормативных затрат на обеспечение функций финансового управления администрации города Тулы</w:t>
      </w:r>
      <w:r>
        <w:rPr>
          <w:rFonts w:ascii="PT Astra Serif" w:hAnsi="PT Astra Serif"/>
          <w:sz w:val="28"/>
          <w:szCs w:val="28"/>
          <w:lang w:eastAsia="en-US"/>
        </w:rPr>
        <w:t xml:space="preserve"> и подведомственного муниципального казенного учреждения «Централизованная бухгалт</w:t>
      </w:r>
      <w:r>
        <w:rPr>
          <w:rFonts w:ascii="PT Astra Serif" w:hAnsi="PT Astra Serif"/>
          <w:sz w:val="28"/>
          <w:szCs w:val="28"/>
          <w:lang w:eastAsia="en-US"/>
        </w:rPr>
        <w:t xml:space="preserve">ерия администрации города Тулы»</w:t>
      </w:r>
      <w:r>
        <w:rPr>
          <w:rFonts w:ascii="PT Astra Serif" w:hAnsi="PT Astra Serif"/>
          <w:sz w:val="28"/>
          <w:szCs w:val="28"/>
          <w:lang w:eastAsia="en-US"/>
        </w:rPr>
        <w:t xml:space="preserve"> следующие изменения: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/>
        <w:ind w:firstLine="709"/>
        <w:contextualSpacing w:val="true"/>
        <w:jc w:val="both"/>
        <w:rPr>
          <w:rFonts w:ascii="PT Astra Serif" w:hAnsi="PT Astra Serif"/>
          <w:sz w:val="28"/>
          <w:szCs w:val="28"/>
          <w:highlight w:val="none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- изложить Приложение № </w:t>
      </w:r>
      <w:r>
        <w:rPr>
          <w:rFonts w:ascii="PT Astra Serif" w:hAnsi="PT Astra Serif"/>
          <w:sz w:val="28"/>
          <w:szCs w:val="28"/>
          <w:lang w:eastAsia="en-US"/>
        </w:rPr>
        <w:t xml:space="preserve">7</w:t>
      </w:r>
      <w:r>
        <w:rPr>
          <w:rFonts w:ascii="PT Astra Serif" w:hAnsi="PT Astra Serif"/>
          <w:sz w:val="28"/>
          <w:szCs w:val="28"/>
          <w:lang w:eastAsia="en-US"/>
        </w:rPr>
        <w:t xml:space="preserve"> к нормативным затратам </w:t>
      </w:r>
      <w:r>
        <w:rPr>
          <w:rFonts w:ascii="PT Astra Serif" w:hAnsi="PT Astra Serif"/>
          <w:sz w:val="28"/>
          <w:szCs w:val="28"/>
          <w:lang w:eastAsia="en-US"/>
        </w:rPr>
        <w:t xml:space="preserve">Таблицы: </w:t>
      </w:r>
      <w:r>
        <w:rPr>
          <w:rFonts w:ascii="PT Astra Serif" w:hAnsi="PT Astra Serif"/>
          <w:sz w:val="28"/>
          <w:szCs w:val="28"/>
          <w:lang w:eastAsia="en-US"/>
        </w:rPr>
        <w:t xml:space="preserve">нормы положе</w:t>
      </w:r>
      <w:r>
        <w:rPr>
          <w:rFonts w:ascii="PT Astra Serif" w:hAnsi="PT Astra Serif"/>
          <w:sz w:val="28"/>
          <w:szCs w:val="28"/>
          <w:lang w:eastAsia="en-US"/>
        </w:rPr>
        <w:t xml:space="preserve">н</w:t>
      </w:r>
      <w:r>
        <w:rPr>
          <w:rFonts w:ascii="PT Astra Serif" w:hAnsi="PT Astra Serif"/>
          <w:sz w:val="28"/>
          <w:szCs w:val="28"/>
          <w:lang w:eastAsia="en-US"/>
        </w:rPr>
        <w:t xml:space="preserve">н</w:t>
      </w:r>
      <w:r>
        <w:rPr>
          <w:rFonts w:ascii="PT Astra Serif" w:hAnsi="PT Astra Serif"/>
          <w:sz w:val="28"/>
          <w:szCs w:val="28"/>
          <w:lang w:eastAsia="en-US"/>
        </w:rPr>
        <w:t xml:space="preserve">ости на сопровождение  и приобретение иного программного обеспечения для ФУ администрации г. Тулы и для МКУ «ЦБ администрации г. Тулы»</w:t>
      </w:r>
      <w:r>
        <w:rPr>
          <w:rFonts w:ascii="PT Astra Serif" w:hAnsi="PT Astra Serif"/>
          <w:sz w:val="28"/>
          <w:szCs w:val="28"/>
          <w:lang w:eastAsia="en-US"/>
        </w:rPr>
        <w:t xml:space="preserve">», в следующей редакции: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tbl>
      <w:tblPr>
        <w:tblInd w:w="67" w:type="dxa"/>
        <w:tblW w:w="9885" w:type="dxa"/>
        <w:tblCellMar>
          <w:left w:w="62" w:type="dxa"/>
          <w:top w:w="102" w:type="dxa"/>
          <w:right w:w="62" w:type="dxa"/>
          <w:bottom w:w="102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701"/>
        <w:gridCol w:w="3972"/>
        <w:gridCol w:w="1403"/>
        <w:gridCol w:w="1688"/>
        <w:gridCol w:w="2121"/>
      </w:tblGrid>
      <w:tr>
        <w:trPr>
          <w:trHeight w:val="14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Align w:val="center"/>
          </w:tcPr>
          <w:p w14:paraId="621BD65B">
            <w:pPr>
              <w:pStyle w:val="916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</w:rPr>
              <w:t xml:space="preserve">N п/п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center"/>
          </w:tcPr>
          <w:p w14:paraId="1A3B78FE">
            <w:pPr>
              <w:pStyle w:val="916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</w:rPr>
              <w:t xml:space="preserve">Наименование программного обеспечения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Align w:val="center"/>
          </w:tcPr>
          <w:p w14:paraId="3848C847">
            <w:pPr>
              <w:pStyle w:val="916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</w:rPr>
              <w:t xml:space="preserve">Норматив количества (не более), шт.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</w:tcPr>
          <w:p w14:paraId="5E6D1DF9">
            <w:pPr>
              <w:pStyle w:val="916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</w:rPr>
              <w:t xml:space="preserve">Норматив цены сопровождения иного программного обеспечения (не более), руб.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</w:tcPr>
          <w:p w14:paraId="2503E53F">
            <w:pPr>
              <w:pStyle w:val="916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</w:rPr>
              <w:t xml:space="preserve">Норматив цены приобретения иного программного обеспечения (не более на 1 шт.), руб. в год.</w:t>
            </w:r>
            <w:r/>
            <w:r/>
          </w:p>
        </w:tc>
      </w:tr>
      <w:tr>
        <w:trPr>
          <w:trHeight w:val="5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Align w:val="center"/>
          </w:tcPr>
          <w:p w14:paraId="28084DDF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1.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17CABCA6">
            <w:pPr>
              <w:pStyle w:val="921"/>
              <w:pBdr/>
              <w:tabs>
                <w:tab w:val="clear" w:leader="none" w:pos="709"/>
              </w:tabs>
              <w:spacing/>
              <w:ind/>
              <w:rPr/>
            </w:pPr>
            <w:r>
              <w:rPr>
                <w:rFonts w:ascii="PT Astra Serif" w:hAnsi="PT Astra Serif"/>
                <w:sz w:val="22"/>
              </w:rPr>
              <w:t xml:space="preserve">Предоставление доступа к программе для ЭВм Системе «Контур-Экстерн»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2798FDFC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795E24D5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15 000,00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533EA75F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50 000,00</w:t>
            </w:r>
            <w:r/>
            <w:r/>
          </w:p>
        </w:tc>
      </w:tr>
      <w:tr>
        <w:trPr>
          <w:trHeight w:val="3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Align w:val="center"/>
          </w:tcPr>
          <w:p w14:paraId="7DF9FEB4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2.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79EB23F8">
            <w:pPr>
              <w:pStyle w:val="921"/>
              <w:pBdr/>
              <w:tabs>
                <w:tab w:val="clear" w:leader="none" w:pos="709"/>
              </w:tabs>
              <w:spacing/>
              <w:ind/>
              <w:rPr/>
            </w:pPr>
            <w:r>
              <w:rPr>
                <w:rFonts w:ascii="PT Astra Serif" w:hAnsi="PT Astra Serif"/>
                <w:sz w:val="22"/>
              </w:rPr>
              <w:t xml:space="preserve">Приобретение Лицензии на программу Госфинансы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67C3DBBF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1119B353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78D55CC4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170 000,00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Align w:val="center"/>
          </w:tcPr>
          <w:p w14:paraId="6D742A3A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3.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65DD5476">
            <w:pPr>
              <w:pStyle w:val="921"/>
              <w:pBdr/>
              <w:tabs>
                <w:tab w:val="clear" w:leader="none" w:pos="709"/>
              </w:tabs>
              <w:spacing/>
              <w:ind/>
              <w:rPr/>
            </w:pPr>
            <w:r>
              <w:rPr>
                <w:rFonts w:ascii="PT Astra Serif" w:hAnsi="PT Astra Serif"/>
                <w:sz w:val="22"/>
              </w:rPr>
              <w:t xml:space="preserve">СБИС возможность отправки электронных документов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7AEDE28E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06944579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7EF6993C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30 000,00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Align w:val="center"/>
          </w:tcPr>
          <w:p w14:paraId="0EC256C0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4.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34804C6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1С Бухгалтерия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669A2ECC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12B2F5B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5 000 000,00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5381D1C8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5 000 000,00</w:t>
            </w:r>
            <w:r/>
            <w:r/>
          </w:p>
        </w:tc>
      </w:tr>
      <w:tr>
        <w:trPr>
          <w:trHeight w:val="4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Align w:val="center"/>
          </w:tcPr>
          <w:p w14:paraId="2331D47B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5.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0C8C3A2D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1С: Предприятие. Клиентская лицензия на рабочее место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18CA5CA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150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5ABA1D3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7512081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4650,00</w:t>
            </w:r>
            <w:r/>
            <w:r/>
          </w:p>
          <w:p w14:paraId="5ABB481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>
                <w:rFonts w:ascii="PT Astra Serif" w:hAnsi="PT Astra Serif" w:eastAsia="Arial" w:cs="Times New Roman"/>
                <w:lang w:eastAsia="ru-RU"/>
              </w:rPr>
            </w:pPr>
            <w:r/>
            <w:r>
              <w:rPr>
                <w:rFonts w:ascii="PT Astra Serif" w:hAnsi="PT Astra Serif" w:eastAsia="Arial" w:cs="Times New Roman"/>
                <w:lang w:eastAsia="ru-RU"/>
              </w:rPr>
            </w:r>
            <w:r>
              <w:rPr>
                <w:rFonts w:ascii="PT Astra Serif" w:hAnsi="PT Astra Serif" w:eastAsia="Arial" w:cs="Times New Roman"/>
                <w:lang w:eastAsia="ru-RU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93E6BF5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6.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0505FC8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Финконтроль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5AF482A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18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0DEB6F4C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056ABA5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25 000,00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0EC36D25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7.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1FC1D7B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Сертификат ключа проверки электронной подписи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02380C9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4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783AF95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38B8158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1500,00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4BAFDB8C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8.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65B338E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ПП 1С: Документооборот государственных учреждений 8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17BD47C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59899BCD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2E34ECB0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117600,00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Align w:val="center"/>
          </w:tcPr>
          <w:p w14:paraId="46BD61F1">
            <w:pPr>
              <w:pStyle w:val="921"/>
              <w:pBdr/>
              <w:tabs>
                <w:tab w:val="clear" w:leader="none" w:pos="709"/>
              </w:tabs>
              <w:spacing/>
              <w:ind/>
              <w:jc w:val="center"/>
              <w:rPr/>
            </w:pPr>
            <w:r>
              <w:rPr>
                <w:rFonts w:ascii="PT Astra Serif" w:hAnsi="PT Astra Serif"/>
                <w:sz w:val="22"/>
              </w:rPr>
              <w:t xml:space="preserve">9.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015EA5A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Настройка загрузки xml-документов в ПП «1С: Бухгалтерия государственного учреждения 2.0» из системы электронного документооборота СБИС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648F39E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04A203B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1B0C0B4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16000,00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4146942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10.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2DCEE91B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Настройка логики загрузки входящего пакета документов (zip-архив со всеми файлами) из системы электронного документооборота СБИС в ПП «1С: Бухгалтерия государственного учреждения 2.0» (в созданный документ «Поступление услуг»)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2DDCACA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2C17F388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37ECB52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12000,00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2BD23D8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11.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4E4395D0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Услуги по технической поддержке информационных технологий: настройка и подключение сетевого хранилища; перенос данных с сервера на сетевое хранилище; контроль целостности; установка поочередно дисков в сервер, перенастраивая массив данных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6615E884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5887265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20 000,00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6016DA7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1E14FA4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12.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371D5D15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1С: Архив. Электронная поставка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5389520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0ADB5744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00AC16C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90 000,00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2668AF0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13.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739FFFE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Услуга по технической поддержке информационных технологий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0C846A9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16D67B0B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810 000,00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7E269B2D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76083F9D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14.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45724CC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Услуга по сопровождению программного продукта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7BD9AC34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6331C09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945 000,00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2B17148C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13849C5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15.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6EBD0D0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Услуги консультативные по вопросам систем и программному обеспечению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53052EE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726ABF1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891 000,00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2C01182B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EA7F2F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16.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5B9FECB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СБИС возможность отправки электронных документов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702038CC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37267B5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4306DCC4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5 000,00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214B6F8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17.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413BE710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Удаленный доступ для рабочего места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4AF21DED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34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3E7BF40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14C2BF1B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500,00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E1CCE44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18.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2530A8C0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Услуги по замене системного ПО сервера 1С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5554050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32BF7485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578 050,00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60A13D8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78F6AA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19.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0A02644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Простая (неисключительная) лицензия на право использования операционной системы РЕД ОС(конфигурация сервер) без ограничения срока действия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22AAA86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</w:r>
            <w:r>
              <w:rPr>
                <w:rFonts w:ascii="PT Astra Serif" w:hAnsi="PT Astra Serif" w:cs="Times New Roman"/>
              </w:rPr>
            </w:r>
            <w:r>
              <w:rPr>
                <w:rFonts w:ascii="PT Astra Serif" w:hAnsi="PT Astra Serif" w:cs="Times New Roman"/>
              </w:rPr>
            </w:r>
          </w:p>
          <w:p w14:paraId="0BD74661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4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7F54AE50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</w:r>
            <w:r>
              <w:rPr>
                <w:rFonts w:ascii="PT Astra Serif" w:hAnsi="PT Astra Serif" w:cs="Times New Roman"/>
              </w:rPr>
            </w:r>
            <w:r>
              <w:rPr>
                <w:rFonts w:ascii="PT Astra Serif" w:hAnsi="PT Astra Serif" w:cs="Times New Roman"/>
              </w:rPr>
            </w:r>
          </w:p>
          <w:p w14:paraId="720D4DA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0CB22F4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</w:r>
            <w:r>
              <w:rPr>
                <w:rFonts w:ascii="PT Astra Serif" w:hAnsi="PT Astra Serif" w:cs="Times New Roman"/>
              </w:rPr>
            </w:r>
            <w:r>
              <w:rPr>
                <w:rFonts w:ascii="PT Astra Serif" w:hAnsi="PT Astra Serif" w:cs="Times New Roman"/>
              </w:rPr>
            </w:r>
          </w:p>
          <w:p w14:paraId="66E0A06B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45 000,00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Merge w:val="restart"/>
          </w:tcPr>
          <w:p w14:paraId="0792D1A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20.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Merge w:val="restart"/>
          </w:tcPr>
          <w:p w14:paraId="0C8AA4F1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Право на использование ПО </w:t>
            </w:r>
            <w:r>
              <w:rPr>
                <w:rFonts w:ascii="PT Astra Serif" w:hAnsi="PT Astra Serif" w:cs="Times New Roman"/>
                <w:lang w:val="en-US"/>
              </w:rPr>
              <w:t xml:space="preserve">VipNet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</w:tcPr>
          <w:p w14:paraId="6ABF46F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lang w:val="en-US"/>
              </w:rPr>
            </w:pPr>
            <w:r>
              <w:rPr>
                <w:rFonts w:ascii="PT Astra Serif" w:hAnsi="PT Astra Serif" w:cs="Times New Roman"/>
                <w:lang w:val="en-US"/>
              </w:rPr>
              <w:t xml:space="preserve">10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  <w:vMerge w:val="restart"/>
          </w:tcPr>
          <w:p w14:paraId="1B69ECF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lang w:val="en-US"/>
              </w:rPr>
            </w:pPr>
            <w:r>
              <w:rPr>
                <w:rFonts w:ascii="PT Astra Serif" w:hAnsi="PT Astra Serif" w:cs="Times New Roman"/>
                <w:lang w:val="en-US"/>
              </w:rPr>
              <w:t xml:space="preserve">40 000,00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Merge w:val="restart"/>
          </w:tcPr>
          <w:p w14:paraId="54F1841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lang w:val="en-US"/>
              </w:rPr>
            </w:pPr>
            <w:r>
              <w:rPr>
                <w:rFonts w:ascii="PT Astra Serif" w:hAnsi="PT Astra Serif" w:cs="Times New Roman"/>
                <w:lang w:val="en-US"/>
              </w:rPr>
              <w:t xml:space="preserve">12 000,00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65129E5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21.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0DF90A18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Простая (неисключительная) лицензия на право использования операционной системы РЕД ОС(конфигурация рабочая станция) без ограничения срока действия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18E891A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42F100C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0C3335C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7 400,00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223FC6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22.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4A051251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Набор офисных приложений для работы с файлами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229FF2E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4C7AB405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50C758C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20 000,00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A6C489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23.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46A8DD8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Установка и настройка программного обеспечения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1E53A9CD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45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581CE5B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270 000,00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1A086995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4A7C5EF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24.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2273AC7F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left"/>
              <w:rPr/>
            </w:pPr>
            <w:r>
              <w:rPr>
                <w:rFonts w:ascii="PT Astra Serif" w:hAnsi="PT Astra Serif" w:cs="Times New Roman"/>
              </w:rPr>
              <w:t xml:space="preserve">Услуги по техническому обслуживанию сервера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0E79A65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015638E6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400 000,00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403C4393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725D4152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25.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59540154">
            <w:pPr>
              <w:pStyle w:val="916"/>
              <w:pBdr/>
              <w:tabs>
                <w:tab w:val="clear" w:leader="none" w:pos="709"/>
              </w:tabs>
              <w:spacing/>
              <w:ind/>
              <w:rPr/>
            </w:pPr>
            <w:r>
              <w:rPr>
                <w:rFonts w:ascii="PT Astra Serif" w:hAnsi="PT Astra Serif" w:eastAsia="Calibri" w:cs="Times New Roman"/>
                <w:lang w:eastAsia="en-US"/>
              </w:rPr>
              <w:t xml:space="preserve">СУБД</w:t>
            </w:r>
            <w:r>
              <w:rPr>
                <w:rFonts w:ascii="PT Astra Serif" w:hAnsi="PT Astra Serif" w:eastAsia="Calibri" w:cs="Times New Roman"/>
                <w:lang w:val="en-US" w:eastAsia="en-US"/>
              </w:rPr>
              <w:t xml:space="preserve"> Postgres Pro AC Enterprise </w:t>
            </w:r>
            <w:r>
              <w:rPr>
                <w:rFonts w:ascii="PT Astra Serif" w:hAnsi="PT Astra Serif" w:eastAsia="Calibri" w:cs="Times New Roman"/>
                <w:lang w:eastAsia="en-US"/>
              </w:rPr>
              <w:t xml:space="preserve">для</w:t>
            </w:r>
            <w:r>
              <w:rPr>
                <w:rFonts w:ascii="PT Astra Serif" w:hAnsi="PT Astra Serif" w:eastAsia="Calibri" w:cs="Times New Roman"/>
                <w:lang w:val="en-US" w:eastAsia="en-US"/>
              </w:rPr>
              <w:t xml:space="preserve"> 1C </w:t>
            </w:r>
            <w:r>
              <w:rPr>
                <w:rFonts w:ascii="PT Astra Serif" w:hAnsi="PT Astra Serif" w:eastAsia="Calibri" w:cs="Times New Roman"/>
                <w:lang w:eastAsia="en-US"/>
              </w:rPr>
              <w:t xml:space="preserve">на</w:t>
            </w:r>
            <w:r>
              <w:rPr>
                <w:rFonts w:ascii="PT Astra Serif" w:hAnsi="PT Astra Serif" w:eastAsia="Calibri" w:cs="Times New Roman"/>
                <w:lang w:val="en-US" w:eastAsia="en-US"/>
              </w:rPr>
              <w:t xml:space="preserve"> 1 </w:t>
            </w:r>
            <w:r>
              <w:rPr>
                <w:rFonts w:ascii="PT Astra Serif" w:hAnsi="PT Astra Serif" w:eastAsia="Calibri" w:cs="Times New Roman"/>
                <w:lang w:eastAsia="en-US"/>
              </w:rPr>
              <w:t xml:space="preserve">ядро</w:t>
            </w:r>
            <w:r>
              <w:rPr>
                <w:rFonts w:ascii="PT Astra Serif" w:hAnsi="PT Astra Serif" w:eastAsia="Calibri" w:cs="Times New Roman"/>
                <w:lang w:val="en-US" w:eastAsia="en-US"/>
              </w:rPr>
              <w:t xml:space="preserve"> x86-64. </w:t>
            </w:r>
            <w:r>
              <w:rPr>
                <w:rFonts w:ascii="PT Astra Serif" w:hAnsi="PT Astra Serif" w:eastAsia="Calibri" w:cs="Times New Roman"/>
                <w:lang w:eastAsia="en-US"/>
              </w:rPr>
              <w:t xml:space="preserve">Бессрочная лицензия.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3720A0E0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8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535E486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4C9CBA0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150 000,00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7CADB279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26.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61ADE16C">
            <w:pPr>
              <w:pStyle w:val="916"/>
              <w:pBdr/>
              <w:tabs>
                <w:tab w:val="clear" w:leader="none" w:pos="709"/>
              </w:tabs>
              <w:spacing/>
              <w:ind/>
              <w:rPr/>
            </w:pPr>
            <w:r>
              <w:rPr>
                <w:rFonts w:ascii="PT Astra Serif" w:hAnsi="PT Astra Serif" w:eastAsia="Calibri" w:cs="Times New Roman"/>
                <w:lang w:eastAsia="en-US"/>
              </w:rPr>
              <w:t xml:space="preserve">Услуги по установке и настройке СУБД  Postgres Pro AC Enterprise для 1C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62DABFA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186703E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200 000,00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730AC7F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</w:tcPr>
          <w:p w14:paraId="5F1161BA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/>
            </w:pPr>
            <w:r>
              <w:rPr>
                <w:rFonts w:ascii="PT Astra Serif" w:hAnsi="PT Astra Serif" w:eastAsia="Arial" w:cs="Times New Roman"/>
                <w:lang w:eastAsia="ru-RU"/>
              </w:rPr>
              <w:t xml:space="preserve">27.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</w:tcPr>
          <w:p w14:paraId="17BB6AAB">
            <w:pPr>
              <w:pStyle w:val="916"/>
              <w:pBdr/>
              <w:tabs>
                <w:tab w:val="clear" w:leader="none" w:pos="709"/>
              </w:tabs>
              <w:spacing/>
              <w:ind/>
              <w:rPr/>
            </w:pPr>
            <w:r>
              <w:rPr>
                <w:rFonts w:ascii="PT Astra Serif" w:hAnsi="PT Astra Serif" w:eastAsia="Calibri" w:cs="Times New Roman"/>
                <w:lang w:eastAsia="en-US"/>
              </w:rPr>
              <w:t xml:space="preserve">1С: Корпоративный инструментальный пакет 8. Электронная поставка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</w:tcPr>
          <w:p w14:paraId="1659F29C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1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</w:tcPr>
          <w:p w14:paraId="108EFDD7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0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</w:tcPr>
          <w:p w14:paraId="2C92AA3E">
            <w:pPr>
              <w:pStyle w:val="910"/>
              <w:widowControl w:val="false"/>
              <w:pBdr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/>
            </w:pPr>
            <w:r>
              <w:rPr>
                <w:rFonts w:ascii="PT Astra Serif" w:hAnsi="PT Astra Serif" w:cs="Times New Roman"/>
              </w:rPr>
              <w:t xml:space="preserve">200 000,00</w:t>
            </w:r>
            <w:r/>
            <w:r/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Merge w:val="restart"/>
          </w:tcPr>
          <w:p w14:paraId="7F50F012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eastAsia="Arial" w:cs="Times New Roman"/>
                <w:highlight w:val="none"/>
                <w:lang w:eastAsia="ru-RU"/>
              </w:rPr>
              <w:t xml:space="preserve">28.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Merge w:val="restart"/>
          </w:tcPr>
          <w:p w14:paraId="23C8F07E">
            <w:pPr>
              <w:pStyle w:val="916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spacing/>
              <w:ind/>
              <w:rPr>
                <w:highlight w:val="none"/>
              </w:rPr>
            </w:pPr>
            <w:r>
              <w:rPr>
                <w:rFonts w:ascii="PT Astra Serif" w:hAnsi="PT Astra Serif" w:eastAsia="Calibri" w:cs="Times New Roman"/>
                <w:highlight w:val="none"/>
                <w:lang w:eastAsia="en-US"/>
              </w:rPr>
              <w:t xml:space="preserve">«1С:Бухгалтерия государственного учреждения 8 Корп. Электроннаяпоставка» (Апгрейд с программного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 w14:paraId="7B11D676">
            <w:pPr>
              <w:pStyle w:val="916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spacing/>
              <w:ind/>
              <w:rPr>
                <w:highlight w:val="none"/>
              </w:rPr>
            </w:pPr>
            <w:r>
              <w:rPr>
                <w:rFonts w:ascii="PT Astra Serif" w:hAnsi="PT Astra Serif" w:eastAsia="Calibri" w:cs="Times New Roman"/>
                <w:highlight w:val="none"/>
                <w:lang w:eastAsia="en-US"/>
              </w:rPr>
              <w:t xml:space="preserve">продукта «1С:Бухгалтерия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 w14:paraId="468B2E3C">
            <w:pPr>
              <w:pStyle w:val="916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spacing/>
              <w:ind/>
              <w:rPr>
                <w:highlight w:val="none"/>
              </w:rPr>
            </w:pPr>
            <w:r>
              <w:rPr>
                <w:rFonts w:ascii="PT Astra Serif" w:hAnsi="PT Astra Serif" w:eastAsia="Calibri" w:cs="Times New Roman"/>
                <w:highlight w:val="none"/>
                <w:lang w:eastAsia="en-US"/>
              </w:rPr>
              <w:t xml:space="preserve">государственного учреждения 8 Проф. Коробочнаяпоставка»)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</w:tcPr>
          <w:p w14:paraId="41E68C1B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  <w:vMerge w:val="restart"/>
          </w:tcPr>
          <w:p w14:paraId="2E3BC30B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Merge w:val="restart"/>
          </w:tcPr>
          <w:p w14:paraId="251E1839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180 000,00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Merge w:val="restart"/>
          </w:tcPr>
          <w:p w14:paraId="7B6DD6DC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eastAsia="Arial" w:cs="Times New Roman"/>
                <w:highlight w:val="none"/>
                <w:lang w:eastAsia="ru-RU"/>
              </w:rPr>
              <w:t xml:space="preserve">29.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Merge w:val="restart"/>
          </w:tcPr>
          <w:p w14:paraId="7C0E8892">
            <w:pPr>
              <w:pStyle w:val="916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spacing/>
              <w:ind/>
              <w:rPr>
                <w:highlight w:val="none"/>
              </w:rPr>
            </w:pPr>
            <w:r>
              <w:rPr>
                <w:rFonts w:ascii="PT Astra Serif" w:hAnsi="PT Astra Serif" w:eastAsia="Calibri" w:cs="Times New Roman"/>
                <w:highlight w:val="none"/>
                <w:lang w:eastAsia="en-US"/>
              </w:rPr>
              <w:t xml:space="preserve">1С:Бухгалтерия государственного учреждения 8 КОРП. Лицензия для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 w14:paraId="0758C56A">
            <w:pPr>
              <w:pStyle w:val="916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spacing/>
              <w:ind/>
              <w:rPr>
                <w:highlight w:val="none"/>
              </w:rPr>
            </w:pPr>
            <w:r>
              <w:rPr>
                <w:rFonts w:ascii="PT Astra Serif" w:hAnsi="PT Astra Serif" w:eastAsia="Calibri" w:cs="Times New Roman"/>
                <w:highlight w:val="none"/>
                <w:lang w:eastAsia="en-US"/>
              </w:rPr>
              <w:t xml:space="preserve">централизованно обслуживаемых учреждений. Электронная поставка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</w:tcPr>
          <w:p w14:paraId="36351BE9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  <w:vMerge w:val="restart"/>
          </w:tcPr>
          <w:p w14:paraId="7C72195E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Merge w:val="restart"/>
          </w:tcPr>
          <w:p w14:paraId="7BDF3A4F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30 000,00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vMerge w:val="restart"/>
          </w:tcPr>
          <w:p w14:paraId="2C6BCBA7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after="0" w:before="0" w:line="240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eastAsia="Arial" w:cs="Times New Roman"/>
                <w:highlight w:val="none"/>
                <w:lang w:eastAsia="ru-RU"/>
              </w:rPr>
              <w:t xml:space="preserve">30.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Merge w:val="restart"/>
          </w:tcPr>
          <w:p w14:paraId="7D9D8B11">
            <w:pPr>
              <w:pStyle w:val="916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spacing/>
              <w:ind/>
              <w:rPr>
                <w:highlight w:val="none"/>
              </w:rPr>
            </w:pPr>
            <w:r>
              <w:rPr>
                <w:rFonts w:ascii="PT Astra Serif" w:hAnsi="PT Astra Serif" w:eastAsia="Calibri" w:cs="Times New Roman"/>
                <w:highlight w:val="none"/>
                <w:lang w:eastAsia="en-US"/>
              </w:rPr>
              <w:t xml:space="preserve">1C:Бухгалтерия государственного учреждения 8 КОРП для централизованно обслуживаемых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 w14:paraId="32E6202C">
            <w:pPr>
              <w:pStyle w:val="916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spacing/>
              <w:ind/>
              <w:rPr>
                <w:highlight w:val="none"/>
              </w:rPr>
            </w:pPr>
            <w:r>
              <w:rPr>
                <w:rFonts w:ascii="PT Astra Serif" w:hAnsi="PT Astra Serif" w:eastAsia="Calibri" w:cs="Times New Roman"/>
                <w:highlight w:val="none"/>
                <w:lang w:eastAsia="en-US"/>
              </w:rPr>
              <w:t xml:space="preserve">учреждений. Дополнительная лицензия к версии ПРОФ. Электронная поставка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" w:type="dxa"/>
            <w:vMerge w:val="restart"/>
          </w:tcPr>
          <w:p w14:paraId="00D87913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16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  <w:vMerge w:val="restart"/>
          </w:tcPr>
          <w:p w14:paraId="0D183239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Merge w:val="restart"/>
          </w:tcPr>
          <w:p w14:paraId="2963EA8B">
            <w:pPr>
              <w:pStyle w:val="910"/>
              <w:widowControl w:val="false"/>
              <w:pBdr/>
              <w:shd w:val="clear" w:color="ffffff" w:themeColor="background1" w:fill="ffffff" w:themeFill="background1"/>
              <w:tabs>
                <w:tab w:val="clear" w:leader="none" w:pos="709"/>
              </w:tabs>
              <w:bidi w:val="false"/>
              <w:spacing w:line="256" w:lineRule="auto"/>
              <w:ind/>
              <w:jc w:val="center"/>
              <w:rPr>
                <w:highlight w:val="none"/>
              </w:rPr>
            </w:pPr>
            <w:r>
              <w:rPr>
                <w:rFonts w:ascii="PT Astra Serif" w:hAnsi="PT Astra Serif" w:cs="Times New Roman"/>
                <w:highlight w:val="none"/>
              </w:rPr>
              <w:t xml:space="preserve">5 000,00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Style w:val="910"/>
        <w:pBdr/>
        <w:spacing w:line="233" w:lineRule="auto"/>
        <w:ind w:firstLine="0"/>
        <w:contextualSpacing w:val="true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910"/>
        <w:numPr>
          <w:ilvl w:val="0"/>
          <w:numId w:val="9"/>
        </w:numPr>
        <w:pBdr/>
        <w:spacing w:after="200"/>
        <w:ind w:firstLine="993" w:left="0"/>
        <w:contextualSpacing w:val="true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Контрактному управляющему финансового управления администрации города Тулы в течение </w:t>
      </w:r>
      <w:r>
        <w:rPr>
          <w:rFonts w:ascii="PT Astra Serif" w:hAnsi="PT Astra Serif"/>
          <w:sz w:val="28"/>
          <w:szCs w:val="28"/>
          <w:lang w:eastAsia="en-US"/>
        </w:rPr>
        <w:t xml:space="preserve">7</w:t>
      </w:r>
      <w:r>
        <w:rPr>
          <w:rFonts w:ascii="PT Astra Serif" w:hAnsi="PT Astra Serif"/>
          <w:sz w:val="28"/>
          <w:szCs w:val="28"/>
          <w:lang w:eastAsia="en-US"/>
        </w:rPr>
        <w:t xml:space="preserve"> (</w:t>
      </w:r>
      <w:r>
        <w:rPr>
          <w:rFonts w:ascii="PT Astra Serif" w:hAnsi="PT Astra Serif"/>
          <w:sz w:val="28"/>
          <w:szCs w:val="28"/>
          <w:lang w:eastAsia="en-US"/>
        </w:rPr>
        <w:t xml:space="preserve">семи</w:t>
      </w:r>
      <w:r>
        <w:rPr>
          <w:rFonts w:ascii="PT Astra Serif" w:hAnsi="PT Astra Serif"/>
          <w:sz w:val="28"/>
          <w:szCs w:val="28"/>
          <w:lang w:eastAsia="en-US"/>
        </w:rPr>
        <w:t xml:space="preserve">) рабочих дней со дня подписания настоящего приказа разместить его на официальном сайте Российской Федерации в информационно-телекоммуникационной сети </w:t>
      </w:r>
      <w:bookmarkStart w:id="0" w:name="_GoBack"/>
      <w:r/>
      <w:bookmarkEnd w:id="0"/>
      <w:r>
        <w:rPr>
          <w:rFonts w:ascii="PT Astra Serif" w:hAnsi="PT Astra Serif"/>
          <w:sz w:val="28"/>
          <w:szCs w:val="28"/>
          <w:lang w:eastAsia="en-US"/>
        </w:rPr>
        <w:t xml:space="preserve">Интернет для размещения информации о размещении заказов на поставки товаров, выполнение работ, оказание услуг (</w:t>
      </w:r>
      <w:r>
        <w:rPr>
          <w:rFonts w:ascii="PT Astra Serif" w:hAnsi="PT Astra Serif"/>
          <w:sz w:val="28"/>
          <w:szCs w:val="28"/>
          <w:lang w:eastAsia="en-US"/>
        </w:rPr>
        <w:fldChar w:fldCharType="begin"/>
      </w:r>
      <w:r>
        <w:rPr>
          <w:rFonts w:ascii="PT Astra Serif" w:hAnsi="PT Astra Serif"/>
          <w:sz w:val="28"/>
          <w:szCs w:val="28"/>
          <w:lang w:eastAsia="en-US"/>
        </w:rPr>
        <w:instrText xml:space="preserve"> HYPERLINK "http://www.zakupki.gov.ru" </w:instrText>
      </w:r>
      <w:r>
        <w:rPr>
          <w:rFonts w:ascii="PT Astra Serif" w:hAnsi="PT Astra Serif"/>
          <w:sz w:val="28"/>
          <w:szCs w:val="28"/>
          <w:lang w:eastAsia="en-US"/>
        </w:rPr>
        <w:fldChar w:fldCharType="separate"/>
      </w:r>
      <w:r>
        <w:rPr>
          <w:rFonts w:ascii="PT Astra Serif" w:hAnsi="PT Astra Serif"/>
          <w:sz w:val="28"/>
          <w:szCs w:val="28"/>
          <w:lang w:eastAsia="en-US"/>
        </w:rPr>
        <w:t xml:space="preserve">www.zakupki.gov.ru</w:t>
      </w:r>
      <w:r>
        <w:rPr>
          <w:rFonts w:ascii="PT Astra Serif" w:hAnsi="PT Astra Serif"/>
          <w:sz w:val="28"/>
          <w:szCs w:val="28"/>
          <w:lang w:eastAsia="en-US"/>
        </w:rPr>
        <w:fldChar w:fldCharType="end"/>
      </w:r>
      <w:r>
        <w:rPr>
          <w:rFonts w:ascii="PT Astra Serif" w:hAnsi="PT Astra Serif"/>
          <w:sz w:val="28"/>
          <w:szCs w:val="28"/>
          <w:lang w:eastAsia="en-US"/>
        </w:rPr>
        <w:t xml:space="preserve">).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widowControl w:val="false"/>
        <w:numPr>
          <w:ilvl w:val="0"/>
          <w:numId w:val="9"/>
        </w:numPr>
        <w:pBdr/>
        <w:spacing w:line="276" w:lineRule="auto"/>
        <w:ind w:firstLine="993" w:left="-142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Приказ вступает в силу со дня подписания.</w:t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/>
        <w:ind w:left="-142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/>
        <w:ind w:left="0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  <w:r>
        <w:rPr>
          <w:rFonts w:ascii="PT Astra Serif" w:hAnsi="PT Astra Serif"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Н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ачальник финансового управления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pBdr/>
        <w:spacing/>
        <w:ind/>
        <w:jc w:val="both"/>
        <w:rPr>
          <w:rFonts w:ascii="PT Astra Serif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  <w:lang w:eastAsia="en-US"/>
        </w:rPr>
        <w:t xml:space="preserve">администрации города Тулы        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      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И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.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Д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. </w:t>
      </w:r>
      <w:r>
        <w:rPr>
          <w:rFonts w:ascii="PT Astra Serif" w:hAnsi="PT Astra Serif"/>
          <w:b/>
          <w:sz w:val="28"/>
          <w:szCs w:val="28"/>
          <w:lang w:eastAsia="en-US"/>
        </w:rPr>
        <w:t xml:space="preserve">Дробот</w:t>
      </w:r>
      <w:r>
        <w:rPr>
          <w:rFonts w:ascii="PT Astra Serif" w:hAnsi="PT Astra Serif"/>
          <w:b/>
          <w:sz w:val="28"/>
          <w:szCs w:val="28"/>
          <w:lang w:eastAsia="en-US"/>
        </w:rPr>
      </w:r>
      <w:r>
        <w:rPr>
          <w:rFonts w:ascii="PT Astra Serif" w:hAnsi="PT Astra Serif"/>
          <w:b/>
          <w:sz w:val="28"/>
          <w:szCs w:val="28"/>
          <w:lang w:eastAsia="en-US"/>
        </w:rPr>
      </w:r>
    </w:p>
    <w:p>
      <w:pPr>
        <w:pStyle w:val="910"/>
        <w:widowControl w:val="false"/>
        <w:pBdr/>
        <w:spacing/>
        <w:ind/>
        <w:jc w:val="right"/>
        <w:outlineLvl w:val="0"/>
        <w:rPr>
          <w:rFonts w:ascii="PT Astra Serif" w:hAnsi="PT Astra Serif" w:eastAsia="Calibri" w:cs="Arial"/>
          <w:sz w:val="28"/>
          <w:szCs w:val="28"/>
        </w:rPr>
      </w:pPr>
      <w:r>
        <w:rPr>
          <w:rFonts w:ascii="PT Astra Serif" w:hAnsi="PT Astra Serif" w:eastAsia="Calibri" w:cs="Arial"/>
          <w:sz w:val="28"/>
          <w:szCs w:val="28"/>
        </w:rPr>
      </w:r>
      <w:r>
        <w:rPr>
          <w:rFonts w:ascii="PT Astra Serif" w:hAnsi="PT Astra Serif" w:eastAsia="Calibri" w:cs="Arial"/>
          <w:sz w:val="28"/>
          <w:szCs w:val="28"/>
        </w:rPr>
      </w:r>
      <w:r>
        <w:rPr>
          <w:rFonts w:ascii="PT Astra Serif" w:hAnsi="PT Astra Serif" w:eastAsia="Calibri" w:cs="Arial"/>
          <w:sz w:val="28"/>
          <w:szCs w:val="28"/>
        </w:rPr>
      </w:r>
    </w:p>
    <w:p>
      <w:pPr>
        <w:pStyle w:val="910"/>
        <w:widowControl w:val="false"/>
        <w:pBdr/>
        <w:spacing/>
        <w:ind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910"/>
        <w:widowControl w:val="false"/>
        <w:pBdr/>
        <w:spacing/>
        <w:ind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910"/>
        <w:widowControl w:val="false"/>
        <w:pBdr/>
        <w:spacing/>
        <w:ind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sectPr>
      <w:footnotePr/>
      <w:endnotePr>
        <w:numFmt w:val="decimal"/>
      </w:endnotePr>
      <w:type w:val="nextPage"/>
      <w:pgSz w:h="16838" w:orient="portrait" w:w="11906"/>
      <w:pgMar w:top="709" w:right="566" w:bottom="851" w:left="1134" w:header="709" w:footer="709" w:gutter="0"/>
      <w:pgNumType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Verdana">
    <w:panose1 w:val="020B06040305040402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4C57"/>
    <w:lvl w:ilvl="0">
      <w:isLgl w:val="false"/>
      <w:lvlJc w:val="left"/>
      <w:lvlText w:val=""/>
      <w:numFmt w:val="bullet"/>
      <w:pPr>
        <w:pBdr/>
        <w:tabs>
          <w:tab w:val="num" w:leader="none" w:pos="1070"/>
        </w:tabs>
        <w:spacing/>
        <w:ind w:hanging="360" w:left="107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</w:rPr>
      <w:start w:val="1"/>
      <w:suff w:val="tab"/>
    </w:lvl>
  </w:abstractNum>
  <w:abstractNum w:abstractNumId="1">
    <w:nsid w:val="0C8D419F"/>
    <w:lvl w:ilvl="0">
      <w:isLgl w:val="false"/>
      <w:lvlJc w:val="left"/>
      <w:lvlText w:val="%1"/>
      <w:numFmt w:val="decimal"/>
      <w:pPr>
        <w:pBdr/>
        <w:spacing/>
        <w:ind w:hanging="360" w:left="720"/>
      </w:pPr>
      <w:rPr/>
      <w:start w:val="80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13734BB4"/>
    <w:lvl w:ilvl="0">
      <w:isLgl w:val="false"/>
      <w:lvlJc w:val="left"/>
      <w:lvlText w:val="%1."/>
      <w:numFmt w:val="decimal"/>
      <w:pPr>
        <w:pBdr/>
        <w:spacing/>
        <w:ind w:hanging="360" w:left="1144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1CA51B57"/>
    <w:lvl w:ilvl="0">
      <w:isLgl w:val="false"/>
      <w:lvlJc w:val="left"/>
      <w:lvlText w:val="%1."/>
      <w:numFmt w:val="decimal"/>
      <w:pPr>
        <w:pBdr/>
        <w:spacing/>
        <w:ind w:hanging="360" w:left="3621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3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5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7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9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1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3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5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70"/>
      </w:pPr>
      <w:rPr>
        <w:rFonts w:cs="Times New Roman"/>
      </w:rPr>
      <w:start w:val="1"/>
      <w:suff w:val="tab"/>
    </w:lvl>
  </w:abstractNum>
  <w:abstractNum w:abstractNumId="4">
    <w:nsid w:val="47455C19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4FB21F50"/>
    <w:lvl w:ilvl="0">
      <w:isLgl w:val="false"/>
      <w:lvlJc w:val="left"/>
      <w:lvlText w:val="%1."/>
      <w:numFmt w:val="decimal"/>
      <w:pPr>
        <w:pBdr/>
        <w:spacing/>
        <w:ind w:hanging="360" w:left="1144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04"/>
      </w:pPr>
      <w:rPr/>
      <w:start w:val="1"/>
      <w:suff w:val="tab"/>
    </w:lvl>
  </w:abstractNum>
  <w:abstractNum w:abstractNumId="6">
    <w:nsid w:val="546976E4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7">
    <w:nsid w:val="5B412151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Arial" w:hAnsi="Arial"/>
      </w:rPr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Arial" w:hAnsi="Arial"/>
      </w:rPr>
      <w:start w:val="1"/>
      <w:suff w:val="tab"/>
    </w:lvl>
    <w:lvl w:ilvl="2">
      <w:isLgl w:val="false"/>
      <w:lvlJc w:val="left"/>
      <w:lvlText w:val="-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Arial" w:hAnsi="Arial"/>
      </w:rPr>
      <w:start w:val="1"/>
      <w:suff w:val="tab"/>
    </w:lvl>
    <w:lvl w:ilvl="3">
      <w:isLgl w:val="false"/>
      <w:lvlJc w:val="left"/>
      <w:lvlText w:val="-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Arial" w:hAnsi="Arial"/>
      </w:rPr>
      <w:start w:val="1"/>
      <w:suff w:val="tab"/>
    </w:lvl>
    <w:lvl w:ilvl="4">
      <w:isLgl w:val="false"/>
      <w:lvlJc w:val="left"/>
      <w:lvlText w:val="-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Arial" w:hAnsi="Arial"/>
      </w:rPr>
      <w:start w:val="1"/>
      <w:suff w:val="tab"/>
    </w:lvl>
    <w:lvl w:ilvl="5">
      <w:isLgl w:val="false"/>
      <w:lvlJc w:val="left"/>
      <w:lvlText w:val="-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Arial" w:hAnsi="Arial"/>
      </w:rPr>
      <w:start w:val="1"/>
      <w:suff w:val="tab"/>
    </w:lvl>
    <w:lvl w:ilvl="6">
      <w:isLgl w:val="false"/>
      <w:lvlJc w:val="left"/>
      <w:lvlText w:val="-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Arial" w:hAnsi="Arial"/>
      </w:rPr>
      <w:start w:val="1"/>
      <w:suff w:val="tab"/>
    </w:lvl>
    <w:lvl w:ilvl="7">
      <w:isLgl w:val="false"/>
      <w:lvlJc w:val="left"/>
      <w:lvlText w:val="-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Arial" w:hAnsi="Arial"/>
      </w:rPr>
      <w:start w:val="1"/>
      <w:suff w:val="tab"/>
    </w:lvl>
    <w:lvl w:ilvl="8">
      <w:isLgl w:val="false"/>
      <w:lvlJc w:val="left"/>
      <w:lvlText w:val="-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Arial" w:hAnsi="Arial"/>
      </w:rPr>
      <w:start w:val="1"/>
      <w:suff w:val="tab"/>
    </w:lvl>
  </w:abstractNum>
  <w:abstractNum w:abstractNumId="8">
    <w:nsid w:val="6A836A1B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9">
    <w:nsid w:val="7C367D9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</w:rPr>
      <w:start w:val="1"/>
      <w:suff w:val="tab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1"/>
    <w:basedOn w:val="910"/>
    <w:next w:val="910"/>
    <w:link w:val="85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9">
    <w:name w:val="Heading 2"/>
    <w:basedOn w:val="910"/>
    <w:next w:val="910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0">
    <w:name w:val="Heading 3"/>
    <w:basedOn w:val="910"/>
    <w:next w:val="910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1">
    <w:name w:val="Heading 4"/>
    <w:basedOn w:val="910"/>
    <w:next w:val="910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2">
    <w:name w:val="Heading 5"/>
    <w:basedOn w:val="910"/>
    <w:next w:val="910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3">
    <w:name w:val="Heading 6"/>
    <w:basedOn w:val="910"/>
    <w:next w:val="910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4">
    <w:name w:val="Heading 7"/>
    <w:basedOn w:val="910"/>
    <w:next w:val="910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5">
    <w:name w:val="Heading 8"/>
    <w:basedOn w:val="910"/>
    <w:next w:val="910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6">
    <w:name w:val="Heading 9"/>
    <w:basedOn w:val="910"/>
    <w:next w:val="910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default="1">
    <w:name w:val="Default Paragraph Font"/>
    <w:uiPriority w:val="1"/>
    <w:semiHidden/>
    <w:unhideWhenUsed/>
    <w:pPr>
      <w:pBdr/>
      <w:spacing/>
      <w:ind/>
    </w:pPr>
  </w:style>
  <w:style w:type="numbering" w:styleId="858" w:default="1">
    <w:name w:val="No List"/>
    <w:uiPriority w:val="99"/>
    <w:semiHidden/>
    <w:unhideWhenUsed/>
    <w:pPr>
      <w:pBdr/>
      <w:spacing/>
      <w:ind/>
    </w:pPr>
  </w:style>
  <w:style w:type="character" w:styleId="859">
    <w:name w:val="Heading 1 Char"/>
    <w:basedOn w:val="857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857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857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857"/>
    <w:link w:val="8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857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857"/>
    <w:link w:val="85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857"/>
    <w:link w:val="85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857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857"/>
    <w:link w:val="8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10"/>
    <w:next w:val="910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857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10"/>
    <w:next w:val="910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857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10"/>
    <w:next w:val="91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857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85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6">
    <w:name w:val="Intense Quote"/>
    <w:basedOn w:val="910"/>
    <w:next w:val="910"/>
    <w:link w:val="8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7">
    <w:name w:val="Intense Quote Char"/>
    <w:basedOn w:val="857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8">
    <w:name w:val="Intense Reference"/>
    <w:basedOn w:val="85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9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0">
    <w:name w:val="Subtle Emphasis"/>
    <w:basedOn w:val="85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857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857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85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85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857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857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857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857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857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85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85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character" w:styleId="907">
    <w:name w:val="Placeholder Text"/>
    <w:basedOn w:val="857"/>
    <w:uiPriority w:val="99"/>
    <w:semiHidden/>
    <w:pPr>
      <w:pBdr/>
      <w:spacing/>
      <w:ind/>
    </w:pPr>
    <w:rPr>
      <w:color w:val="666666"/>
    </w:rPr>
  </w:style>
  <w:style w:type="paragraph" w:styleId="908">
    <w:name w:val="TOC Heading"/>
    <w:uiPriority w:val="39"/>
    <w:unhideWhenUsed/>
    <w:pPr>
      <w:pBdr/>
      <w:spacing/>
      <w:ind/>
    </w:pPr>
  </w:style>
  <w:style w:type="paragraph" w:styleId="909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paragraph" w:styleId="910" w:default="1">
    <w:name w:val="Normal"/>
    <w:next w:val="910"/>
    <w:link w:val="910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911">
    <w:name w:val="Основной шрифт абзаца"/>
    <w:next w:val="911"/>
    <w:link w:val="910"/>
    <w:semiHidden/>
    <w:pPr>
      <w:pBdr/>
      <w:spacing/>
      <w:ind/>
    </w:pPr>
  </w:style>
  <w:style w:type="table" w:styleId="912">
    <w:name w:val="Обычная таблица"/>
    <w:next w:val="912"/>
    <w:link w:val="91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>
    <w:name w:val="Нет списка"/>
    <w:next w:val="913"/>
    <w:link w:val="910"/>
    <w:uiPriority w:val="99"/>
    <w:semiHidden/>
    <w:pPr>
      <w:pBdr/>
      <w:spacing/>
      <w:ind/>
    </w:pPr>
  </w:style>
  <w:style w:type="paragraph" w:styleId="914">
    <w:name w:val="Текст выноски"/>
    <w:basedOn w:val="910"/>
    <w:next w:val="914"/>
    <w:link w:val="915"/>
    <w:pPr>
      <w:pBdr/>
      <w:spacing/>
      <w:ind/>
    </w:pPr>
    <w:rPr>
      <w:rFonts w:ascii="Tahoma" w:hAnsi="Tahoma"/>
      <w:sz w:val="16"/>
      <w:szCs w:val="16"/>
      <w:lang w:val="en-US" w:eastAsia="en-US"/>
    </w:rPr>
  </w:style>
  <w:style w:type="character" w:styleId="915">
    <w:name w:val="Текст выноски Знак"/>
    <w:next w:val="915"/>
    <w:link w:val="914"/>
    <w:pPr>
      <w:pBdr/>
      <w:spacing/>
      <w:ind/>
    </w:pPr>
    <w:rPr>
      <w:rFonts w:ascii="Tahoma" w:hAnsi="Tahoma" w:cs="Tahoma"/>
      <w:sz w:val="16"/>
      <w:szCs w:val="16"/>
    </w:rPr>
  </w:style>
  <w:style w:type="paragraph" w:styleId="916">
    <w:name w:val="ConsPlusNormal"/>
    <w:next w:val="916"/>
    <w:link w:val="910"/>
    <w:qFormat/>
    <w:pPr>
      <w:widowControl w:val="false"/>
      <w:pBdr/>
      <w:spacing/>
      <w:ind/>
    </w:pPr>
    <w:rPr>
      <w:rFonts w:ascii="Arial" w:hAnsi="Arial" w:cs="Arial"/>
      <w:lang w:val="ru-RU" w:eastAsia="ru-RU" w:bidi="ar-SA"/>
    </w:rPr>
  </w:style>
  <w:style w:type="paragraph" w:styleId="917">
    <w:name w:val="Абзац списка"/>
    <w:basedOn w:val="910"/>
    <w:next w:val="917"/>
    <w:link w:val="910"/>
    <w:uiPriority w:val="34"/>
    <w:qFormat/>
    <w:pPr>
      <w:pBdr/>
      <w:spacing/>
      <w:ind w:left="720"/>
      <w:contextualSpacing w:val="true"/>
    </w:pPr>
  </w:style>
  <w:style w:type="paragraph" w:styleId="918">
    <w:name w:val="Обычный (веб)"/>
    <w:basedOn w:val="910"/>
    <w:next w:val="918"/>
    <w:link w:val="910"/>
    <w:uiPriority w:val="99"/>
    <w:unhideWhenUsed/>
    <w:pPr>
      <w:pBdr/>
      <w:spacing w:after="100" w:afterAutospacing="1" w:before="100" w:beforeAutospacing="1"/>
      <w:ind/>
    </w:pPr>
  </w:style>
  <w:style w:type="paragraph" w:styleId="919">
    <w:name w:val="ConsPlusNonformat"/>
    <w:next w:val="919"/>
    <w:link w:val="910"/>
    <w:uiPriority w:val="99"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0">
    <w:name w:val="ConsPlusTitle"/>
    <w:next w:val="920"/>
    <w:link w:val="910"/>
    <w:pPr>
      <w:pBdr/>
      <w:spacing/>
      <w:ind/>
    </w:pPr>
    <w:rPr>
      <w:b/>
      <w:bCs/>
      <w:sz w:val="28"/>
      <w:szCs w:val="28"/>
      <w:lang w:val="ru-RU" w:eastAsia="ru-RU" w:bidi="ar-SA"/>
    </w:rPr>
  </w:style>
  <w:style w:type="paragraph" w:styleId="921">
    <w:name w:val="ConsPlusCell"/>
    <w:next w:val="921"/>
    <w:link w:val="910"/>
    <w:qFormat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2">
    <w:name w:val="ConsPlusDocList"/>
    <w:next w:val="922"/>
    <w:link w:val="910"/>
    <w:uiPriority w:val="99"/>
    <w:pPr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923">
    <w:name w:val="ConsPlusTitlePage"/>
    <w:next w:val="923"/>
    <w:link w:val="910"/>
    <w:uiPriority w:val="99"/>
    <w:pPr>
      <w:pBdr/>
      <w:spacing/>
      <w:ind/>
    </w:pPr>
    <w:rPr>
      <w:rFonts w:ascii="Tahoma" w:hAnsi="Tahoma" w:cs="Tahoma"/>
      <w:sz w:val="28"/>
      <w:szCs w:val="28"/>
      <w:lang w:val="ru-RU" w:eastAsia="ru-RU" w:bidi="ar-SA"/>
    </w:rPr>
  </w:style>
  <w:style w:type="paragraph" w:styleId="924">
    <w:name w:val="ConsPlusJurTerm"/>
    <w:next w:val="924"/>
    <w:link w:val="910"/>
    <w:uiPriority w:val="99"/>
    <w:pPr>
      <w:pBdr/>
      <w:spacing/>
      <w:ind/>
    </w:pPr>
    <w:rPr>
      <w:rFonts w:ascii="Tahoma" w:hAnsi="Tahoma" w:cs="Tahoma"/>
      <w:sz w:val="26"/>
      <w:szCs w:val="26"/>
      <w:lang w:val="ru-RU" w:eastAsia="ru-RU" w:bidi="ar-SA"/>
    </w:rPr>
  </w:style>
  <w:style w:type="character" w:styleId="925">
    <w:name w:val="Номер строки"/>
    <w:next w:val="925"/>
    <w:link w:val="910"/>
    <w:pPr>
      <w:pBdr/>
      <w:spacing/>
      <w:ind/>
    </w:pPr>
  </w:style>
  <w:style w:type="paragraph" w:styleId="926">
    <w:name w:val="Верхний колонтитул"/>
    <w:basedOn w:val="910"/>
    <w:next w:val="926"/>
    <w:link w:val="927"/>
    <w:uiPriority w:val="9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927">
    <w:name w:val="Верхний колонтитул Знак"/>
    <w:next w:val="927"/>
    <w:link w:val="926"/>
    <w:uiPriority w:val="99"/>
    <w:pPr>
      <w:pBdr/>
      <w:spacing/>
      <w:ind/>
    </w:pPr>
    <w:rPr>
      <w:sz w:val="24"/>
      <w:szCs w:val="24"/>
    </w:rPr>
  </w:style>
  <w:style w:type="paragraph" w:styleId="928">
    <w:name w:val="Нижний колонтитул"/>
    <w:basedOn w:val="910"/>
    <w:next w:val="928"/>
    <w:link w:val="929"/>
    <w:pPr>
      <w:pBdr/>
      <w:tabs>
        <w:tab w:val="center" w:leader="none" w:pos="4677"/>
        <w:tab w:val="right" w:leader="none" w:pos="9355"/>
      </w:tabs>
      <w:spacing/>
      <w:ind/>
    </w:pPr>
    <w:rPr>
      <w:lang w:val="en-US" w:eastAsia="en-US"/>
    </w:rPr>
  </w:style>
  <w:style w:type="character" w:styleId="929">
    <w:name w:val="Нижний колонтитул Знак"/>
    <w:next w:val="929"/>
    <w:link w:val="928"/>
    <w:pPr>
      <w:pBdr/>
      <w:spacing/>
      <w:ind/>
    </w:pPr>
    <w:rPr>
      <w:sz w:val="24"/>
      <w:szCs w:val="24"/>
    </w:rPr>
  </w:style>
  <w:style w:type="paragraph" w:styleId="930">
    <w:name w:val="Без интервала"/>
    <w:next w:val="930"/>
    <w:link w:val="910"/>
    <w:uiPriority w:val="1"/>
    <w:qFormat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31">
    <w:name w:val="Сетка таблицы"/>
    <w:basedOn w:val="912"/>
    <w:next w:val="931"/>
    <w:link w:val="910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2">
    <w:name w:val="Гиперссылка"/>
    <w:next w:val="932"/>
    <w:link w:val="910"/>
    <w:uiPriority w:val="99"/>
    <w:unhideWhenUsed/>
    <w:pPr>
      <w:pBdr/>
      <w:spacing/>
      <w:ind/>
    </w:pPr>
    <w:rPr>
      <w:color w:val="0000ff"/>
      <w:u w:val="single"/>
    </w:rPr>
  </w:style>
  <w:style w:type="character" w:styleId="933">
    <w:name w:val="Строгий"/>
    <w:next w:val="933"/>
    <w:link w:val="910"/>
    <w:uiPriority w:val="22"/>
    <w:qFormat/>
    <w:pPr>
      <w:pBdr/>
      <w:spacing/>
      <w:ind/>
    </w:pPr>
    <w:rPr>
      <w:b/>
      <w:bCs/>
    </w:rPr>
  </w:style>
  <w:style w:type="paragraph" w:styleId="934">
    <w:name w:val="Абзац списка1"/>
    <w:basedOn w:val="910"/>
    <w:next w:val="934"/>
    <w:link w:val="910"/>
    <w:uiPriority w:val="99"/>
    <w:pPr>
      <w:pBdr/>
      <w:spacing/>
      <w:ind w:left="720"/>
    </w:pPr>
    <w:rPr>
      <w:rFonts w:ascii="Calibri" w:hAnsi="Calibri" w:eastAsia="Calibri" w:cs="Calibri"/>
      <w:lang w:eastAsia="en-US"/>
    </w:rPr>
  </w:style>
  <w:style w:type="paragraph" w:styleId="935">
    <w:name w:val="Без интервала2"/>
    <w:next w:val="935"/>
    <w:link w:val="910"/>
    <w:uiPriority w:val="99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paragraph" w:styleId="936">
    <w:name w:val=" Знак Знак4 Знак Знак"/>
    <w:basedOn w:val="910"/>
    <w:next w:val="936"/>
    <w:link w:val="910"/>
    <w:pPr>
      <w:pBdr/>
      <w:spacing w:after="160" w:line="240" w:lineRule="exact"/>
      <w:ind/>
    </w:pPr>
    <w:rPr>
      <w:rFonts w:ascii="Verdana" w:hAnsi="Verdana"/>
      <w:lang w:val="en-US" w:eastAsia="en-US"/>
    </w:rPr>
  </w:style>
  <w:style w:type="character" w:styleId="937">
    <w:name w:val="markedcontent"/>
    <w:next w:val="937"/>
    <w:link w:val="910"/>
    <w:pPr>
      <w:pBdr/>
      <w:spacing/>
      <w:ind/>
    </w:pPr>
  </w:style>
  <w:style w:type="character" w:styleId="938">
    <w:name w:val="Номер страницы"/>
    <w:next w:val="938"/>
    <w:link w:val="91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Krokoz™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ТУЛЬСКОЙ ОБЛАСТИ</dc:title>
  <dc:creator>Maksim.Shishkin</dc:creator>
  <cp:revision>7</cp:revision>
  <dcterms:created xsi:type="dcterms:W3CDTF">2026-04-28T12:33:00Z</dcterms:created>
  <dcterms:modified xsi:type="dcterms:W3CDTF">2026-06-02T08:10:32Z</dcterms:modified>
  <cp:version>983040</cp:version>
</cp:coreProperties>
</file>